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FE42F" w14:textId="52E04DBE" w:rsidR="00692576" w:rsidRDefault="00692576">
      <w:pPr>
        <w:rPr>
          <w:b/>
          <w:bCs/>
        </w:rPr>
      </w:pPr>
      <w:r>
        <w:rPr>
          <w:b/>
          <w:bCs/>
        </w:rPr>
        <w:t>Introduzione</w:t>
      </w:r>
    </w:p>
    <w:p w14:paraId="53F32155" w14:textId="147F1F0B" w:rsidR="00692576" w:rsidRPr="00692576" w:rsidRDefault="00692576">
      <w:r>
        <w:t>Nel seguente saggio mi propongo di corroborare la tesi di Kant in merito all’infinità della legge moral</w:t>
      </w:r>
      <w:r w:rsidR="002777CC">
        <w:t xml:space="preserve">e, prima ripercorrendo </w:t>
      </w:r>
      <w:r>
        <w:t>il pensiero del filosofo di K</w:t>
      </w:r>
      <w:r w:rsidR="00FB2919">
        <w:rPr>
          <w:rFonts w:cstheme="minorHAnsi"/>
        </w:rPr>
        <w:t>ö</w:t>
      </w:r>
      <w:r>
        <w:t>nigsberg in merito all’</w:t>
      </w:r>
      <w:r w:rsidR="004121B6">
        <w:t xml:space="preserve"> ”</w:t>
      </w:r>
      <w:r>
        <w:t>ubiquità</w:t>
      </w:r>
      <w:r w:rsidR="004121B6">
        <w:t>”</w:t>
      </w:r>
      <w:r>
        <w:t xml:space="preserve"> della natura umana, al contempo sensibile e ultrasensibile</w:t>
      </w:r>
      <w:r w:rsidR="004121B6">
        <w:t>(“L’umanesimo kantiano”)</w:t>
      </w:r>
      <w:r>
        <w:t>,</w:t>
      </w:r>
      <w:r w:rsidR="002777CC">
        <w:t xml:space="preserve"> poi</w:t>
      </w:r>
      <w:r>
        <w:t xml:space="preserve"> ponendo il problema delle “inclinazioni” che deviano l’uomo dall’adempimento dei suoi doveri(“La coercizione morale”), </w:t>
      </w:r>
      <w:r w:rsidR="002777CC">
        <w:t xml:space="preserve">dopo ancora </w:t>
      </w:r>
      <w:r>
        <w:t>presentando possibili cont</w:t>
      </w:r>
      <w:r w:rsidR="002777CC">
        <w:t>ro-argomenti(“Dalla potenza all’atto, l’uomo virtuoso è infelice”), in ultima analisi sintetizzando</w:t>
      </w:r>
      <w:r w:rsidR="00EA6F82">
        <w:t xml:space="preserve"> il contenuto del saggio</w:t>
      </w:r>
      <w:r w:rsidR="004E0121">
        <w:t xml:space="preserve"> e proponendo un’interpretazione storic</w:t>
      </w:r>
      <w:r w:rsidR="00FB2919">
        <w:t>a</w:t>
      </w:r>
      <w:r w:rsidR="004E0121">
        <w:t>, oltre che filosofica, del pensiero kantiano</w:t>
      </w:r>
      <w:r w:rsidR="00FB2919">
        <w:t xml:space="preserve"> (“Il romanticismo della ragione”).</w:t>
      </w:r>
    </w:p>
    <w:p w14:paraId="0CD58E1F" w14:textId="3152912C" w:rsidR="003E5571" w:rsidRDefault="00174108">
      <w:pPr>
        <w:rPr>
          <w:b/>
          <w:bCs/>
        </w:rPr>
      </w:pPr>
      <w:r w:rsidRPr="00B916B1">
        <w:rPr>
          <w:b/>
          <w:bCs/>
        </w:rPr>
        <w:t>L’umanesimo kantiano</w:t>
      </w:r>
    </w:p>
    <w:p w14:paraId="276AEF86" w14:textId="77777777" w:rsidR="00FB2919" w:rsidRDefault="00C25E9A">
      <w:r>
        <w:t xml:space="preserve">La Weltanshauung kantiana si sviluppa in </w:t>
      </w:r>
      <w:r w:rsidR="003E5571">
        <w:t>modo</w:t>
      </w:r>
      <w:r w:rsidR="00B916B1">
        <w:t xml:space="preserve"> diverso</w:t>
      </w:r>
      <w:r w:rsidR="003E5571">
        <w:t xml:space="preserve"> nella Critica della ragion pura pratica</w:t>
      </w:r>
      <w:r w:rsidR="00B916B1">
        <w:t xml:space="preserve"> (non per questo meno coerente) riguardo le tre idee della ragione (anima, mondo e Dio). Se, infatti, nella Critica della ragion pura, giunge alla conclusione che le rispettive pseudo-scienze (psicologia, cosmologia e teologia) sono manchevoli di un’intuizione sensibile e quindi non approdano a alcun tipo di conoscenza, ora si propone di analizzarle da una nuova prospettiva, quella pratica. In questo modo, Kant mette in luce la validità etica di tali idee, ma senza attribuire loro la capacità di estendere la conoscenza teoretica. </w:t>
      </w:r>
      <w:r w:rsidR="000F6E67">
        <w:rPr>
          <w:rFonts w:cstheme="minorHAnsi"/>
        </w:rPr>
        <w:t>È</w:t>
      </w:r>
      <w:r w:rsidR="00B916B1">
        <w:t xml:space="preserve"> in questo contesto che il filosofo </w:t>
      </w:r>
      <w:r w:rsidR="00E47C36">
        <w:t>tedesco</w:t>
      </w:r>
      <w:r w:rsidR="00B916B1">
        <w:t xml:space="preserve"> </w:t>
      </w:r>
      <w:r w:rsidR="00E47C36">
        <w:t>può prescindere dalla concezione di ragione che fino ad allora aveva avvalorato il processo conoscitivo (ponendo in un rapporto di osmosi il mondo sensibile e le categorie) e dedicarsi all’Assoluto, quell’aspirazione all’infinito che lo rende un “Giano bifronte”.</w:t>
      </w:r>
    </w:p>
    <w:p w14:paraId="48CE6476" w14:textId="1632B5DC" w:rsidR="00C25E9A" w:rsidRPr="003E5571" w:rsidRDefault="00E47C36">
      <w:pPr>
        <w:rPr>
          <w:b/>
          <w:bCs/>
        </w:rPr>
      </w:pPr>
      <w:r>
        <w:t xml:space="preserve"> Kant non dimostra l’esistenza di una legge morale, si limita a constatarla: la legge morale è un “fatto” (factum), </w:t>
      </w:r>
      <w:r w:rsidR="000F6E67">
        <w:t>non necessita della ragione</w:t>
      </w:r>
      <w:r w:rsidR="00FB2919">
        <w:t>,</w:t>
      </w:r>
      <w:r w:rsidR="000F6E67">
        <w:t xml:space="preserve"> in quanto l’uomo ne prende coscienza senza intermediari. Potremmo dire che si presenta con l’immediatezza di un’intuizione cartesiana</w:t>
      </w:r>
      <w:r w:rsidR="00375A58">
        <w:t>. A</w:t>
      </w:r>
      <w:r w:rsidR="000F6E67">
        <w:t>d esempio</w:t>
      </w:r>
      <w:r w:rsidR="00375A58">
        <w:t>,</w:t>
      </w:r>
      <w:r w:rsidR="000F6E67">
        <w:t xml:space="preserve"> è facile riconoscere come per un punto passano infinite rette e per due punti una e una sola retta. Il fatto è un postulato,</w:t>
      </w:r>
      <w:r w:rsidR="00375A58">
        <w:t xml:space="preserve"> dunque</w:t>
      </w:r>
      <w:r w:rsidR="000F6E67">
        <w:t xml:space="preserve"> l’etica è geometria, poiché si fonda su assiomi indimostrabili, i quali a loro volta costituiscono la base di nuovi teoremi. </w:t>
      </w:r>
      <w:r w:rsidR="00375A58">
        <w:t>Kant usa il termine “oscurità” che si contrappone proprio alle idee “chiare e distinte” di Descartes: non c’è nulla di più umano della legge morale che risiede dentro di noi, da qui la celebre constatazione che chiude la Critica: “il cielo stellato sopra di me e la legge morale dentro di me”. Il filosofo di K</w:t>
      </w:r>
      <w:r w:rsidR="004E0121">
        <w:rPr>
          <w:rFonts w:cstheme="minorHAnsi"/>
        </w:rPr>
        <w:t>ö</w:t>
      </w:r>
      <w:r w:rsidR="00375A58">
        <w:t xml:space="preserve">nigsberg, in quanto figlio della tradizione filosofica che lo ha preceduto, avverte quel senso di ammirazione e di venerazione per il mondo che lo circonda, la meraviglia che aveva ispirato </w:t>
      </w:r>
      <w:r w:rsidR="004A010A">
        <w:t>Aristotele, “l’amor dei” di Baruch Spinoza e l’infinità dei mondi e dei sistemi di Giordano Bruno, ma si spinge oltre, ammettendo un’altra verità inconfutabile, quella della legge morale</w:t>
      </w:r>
      <w:r w:rsidR="00C25E9A">
        <w:t>, universale e necessaria.</w:t>
      </w:r>
      <w:r w:rsidR="004A010A">
        <w:t xml:space="preserve"> L’uomo è cittadino di due mondi, quello intellegibile dell’autonomia razionale e quello esperibile delle “inclinazioni”</w:t>
      </w:r>
      <w:r w:rsidR="00890EC3">
        <w:t xml:space="preserve"> (lo stesso conoscibile dal punto di vista teoretico attraverso il fenomeno)</w:t>
      </w:r>
      <w:r w:rsidR="004A010A">
        <w:t xml:space="preserve">. Insomma, è profondamente consapevole del dualismo della natura umana, della debolezza intrinseca alla sua </w:t>
      </w:r>
      <w:r w:rsidR="004121B6">
        <w:t>esistenza</w:t>
      </w:r>
      <w:r w:rsidR="00FB2919">
        <w:t xml:space="preserve"> </w:t>
      </w:r>
      <w:r w:rsidR="004121B6">
        <w:t>(ma come vedremo anche la sua grandezza),</w:t>
      </w:r>
      <w:r w:rsidR="004A010A">
        <w:t xml:space="preserve"> che ostacola il raggiungimento della </w:t>
      </w:r>
      <w:r w:rsidR="00C25E9A">
        <w:t xml:space="preserve">moralità assoluta, la “santità”, il “Sommo bene”. </w:t>
      </w:r>
      <w:r w:rsidR="003E5571">
        <w:t xml:space="preserve"> Nell’ultimo punto </w:t>
      </w:r>
      <w:r w:rsidR="00FB2919">
        <w:t>constateremo</w:t>
      </w:r>
      <w:r w:rsidR="003E5571">
        <w:t xml:space="preserve"> come solo questa endiadi di animalità e razionalità costituisca la vera grandezza dell’uomo.</w:t>
      </w:r>
    </w:p>
    <w:p w14:paraId="3BD6A6F3" w14:textId="41F7825C" w:rsidR="00C25E9A" w:rsidRDefault="00C25E9A">
      <w:pPr>
        <w:rPr>
          <w:b/>
          <w:bCs/>
        </w:rPr>
      </w:pPr>
      <w:r>
        <w:rPr>
          <w:b/>
          <w:bCs/>
        </w:rPr>
        <w:t xml:space="preserve">La coercizione morale </w:t>
      </w:r>
    </w:p>
    <w:p w14:paraId="3E41B1A0" w14:textId="77777777" w:rsidR="00633130" w:rsidRDefault="003E5571">
      <w:r>
        <w:t>Su un sistema di assi cartesiani la legge morale rappresenta “l’ortos”, l’angolo retto, mentre l’agire umano traccia angoli di ampiezza diversa, strettamente maggiore o minore di quello stesso angolo di 90 gradi. La volontà è riottosa, non risponde con diligenza e naturalezza alla morale, dunque essa deve comandare attraverso una “coercizione morale” l’animalità dell’uomo</w:t>
      </w:r>
      <w:r w:rsidR="00B6335B">
        <w:t xml:space="preserve"> destinato spontaneamente a seguire “l’amor proprio”. </w:t>
      </w:r>
    </w:p>
    <w:p w14:paraId="3F7CF91C" w14:textId="2DE8278A" w:rsidR="00FB2919" w:rsidRDefault="00B6335B">
      <w:r>
        <w:t xml:space="preserve">Ancora una volta emerge il contrasto tra la sfera della ragione e quella della sensibilità, che sembrerebbe adombrare l’autonomia della libertà che Kant aveva posto a fondamento della sua dottrina etica. Questa contraddizione è solo apparente in quanto per il filosofo tedesco </w:t>
      </w:r>
      <w:r w:rsidR="00694FC3">
        <w:t>“</w:t>
      </w:r>
      <w:r>
        <w:t>libertà</w:t>
      </w:r>
      <w:r w:rsidR="00694FC3">
        <w:t>”</w:t>
      </w:r>
      <w:r>
        <w:t xml:space="preserve"> non vuol dire “libero arbitrio”, ma </w:t>
      </w:r>
      <w:r>
        <w:lastRenderedPageBreak/>
        <w:t>la capacità della ragione di essere indipendente da qualsiasi stimolo esterno, da ogni velleità terrena. Calzante è l’esempio della biga alata di Platone, il cui auriga tiene le redini dei due cavalli che rappresentano i sensi e le passioni; così la ragione deve frenare gli istinti dell’uomo, naturalmente incline a soddisfare i suoi impulsi, in quanto caratterizzato dalla “facoltà di desiderare”</w:t>
      </w:r>
      <w:r w:rsidR="00950F91">
        <w:t xml:space="preserve"> </w:t>
      </w:r>
      <w:r>
        <w:t>(Spinoza descriveva l’uomo con il termine “cupiditas”).</w:t>
      </w:r>
      <w:r w:rsidR="00950F91">
        <w:t xml:space="preserve"> </w:t>
      </w:r>
    </w:p>
    <w:p w14:paraId="0095806F" w14:textId="7FE173D2" w:rsidR="00694FC3" w:rsidRDefault="00950F91">
      <w:r>
        <w:t>“Nihil appetimus nisi sub ratione boni”</w:t>
      </w:r>
      <w:r w:rsidR="00694FC3">
        <w:t>.</w:t>
      </w:r>
      <w:r>
        <w:t xml:space="preserve"> Kant si interroga proprio nella Critica della ragion pratica sul significato di questa frase e dice di non aver trovato una giusta traduzione latina al termine “boni”. Riesce a cogliere le sfaccettature di questa parola solo ricorrendo alla lingua tedesca, che mette a fuoco la differenza che intercorre tra “B</w:t>
      </w:r>
      <w:r w:rsidR="005A55F6">
        <w:rPr>
          <w:rFonts w:cstheme="minorHAnsi"/>
        </w:rPr>
        <w:t>ö</w:t>
      </w:r>
      <w:r>
        <w:t>se”, “Gute”, “Wohl”</w:t>
      </w:r>
      <w:r w:rsidR="00890EC3">
        <w:t>,</w:t>
      </w:r>
      <w:r>
        <w:t xml:space="preserve"> “Weh”. “Noi desideriamo, in considerazione della ragione, quello che ci fa stare bene- o male- (</w:t>
      </w:r>
      <w:r w:rsidR="00694FC3">
        <w:t>Gute o B</w:t>
      </w:r>
      <w:r w:rsidR="00890EC3">
        <w:rPr>
          <w:rFonts w:cstheme="minorHAnsi"/>
        </w:rPr>
        <w:t>ö</w:t>
      </w:r>
      <w:r w:rsidR="00694FC3">
        <w:t>se</w:t>
      </w:r>
      <w:r>
        <w:t>)” oppure “Noi vogliamo, in considerazione della ragione, ciò che è buono o cattivo (Wohl o Weh). Kant ritiene indispensabile far uso della seconda interpretazione, in quanto la ragione, scevra come dovrebbe essere da qualsiasi tentazione esterna (“inclinazione”) non può che giudicare in base al “bene” e al “male”, non di certo l’interesse personale o il vantaggio che si può trarre da una determinata azione.</w:t>
      </w:r>
      <w:r w:rsidR="00694FC3">
        <w:t xml:space="preserve"> </w:t>
      </w:r>
    </w:p>
    <w:p w14:paraId="21B80927" w14:textId="01D5FCD1" w:rsidR="00694FC3" w:rsidRPr="00694FC3" w:rsidRDefault="00694FC3">
      <w:pPr>
        <w:rPr>
          <w:b/>
          <w:bCs/>
        </w:rPr>
      </w:pPr>
      <w:r w:rsidRPr="00694FC3">
        <w:rPr>
          <w:b/>
          <w:bCs/>
        </w:rPr>
        <w:t>Dalla potenza all’atto</w:t>
      </w:r>
      <w:r w:rsidR="00692576">
        <w:rPr>
          <w:b/>
          <w:bCs/>
        </w:rPr>
        <w:t>: l’uomo virtuoso è infelice</w:t>
      </w:r>
    </w:p>
    <w:p w14:paraId="133A6AF7" w14:textId="77777777" w:rsidR="00890EC3" w:rsidRDefault="003E546B">
      <w:r>
        <w:rPr>
          <w:rFonts w:cstheme="minorHAnsi"/>
        </w:rPr>
        <w:t>È</w:t>
      </w:r>
      <w:r>
        <w:t xml:space="preserve"> utopico pensare che l’uomo possa davvero aderire alla legge morale e quindi raggiungere la libertà assoluta (absolutus, sciolto da ogni vincolo)</w:t>
      </w:r>
      <w:r w:rsidR="00694FC3">
        <w:t>?</w:t>
      </w:r>
      <w:r>
        <w:t xml:space="preserve"> Da qui Schiller muoverà la sua critica, ridendo degli imperativi categorici di Kant e considerando questa morale contro natura. L’uomo, infatti, deve fare ciò che non vuole fare. Interessante è come l’analisi kantiana porti a questo risultato, nonostante abbia profondamente coscienza della malvagità dell’uomo: per Kant l’essere umano è contaminato alla radice</w:t>
      </w:r>
      <w:r w:rsidR="00694FC3">
        <w:t>, visione che eredita dall’</w:t>
      </w:r>
      <w:r>
        <w:t>influenza di stampo religioso pietista</w:t>
      </w:r>
      <w:r w:rsidR="00694FC3">
        <w:t>.</w:t>
      </w:r>
      <w:r>
        <w:t xml:space="preserve"> </w:t>
      </w:r>
      <w:r w:rsidR="00694FC3">
        <w:t xml:space="preserve">Il </w:t>
      </w:r>
      <w:r>
        <w:t>male</w:t>
      </w:r>
      <w:r w:rsidR="00694FC3">
        <w:t xml:space="preserve">, </w:t>
      </w:r>
      <w:r>
        <w:t>quindi</w:t>
      </w:r>
      <w:r w:rsidR="00694FC3">
        <w:t>,</w:t>
      </w:r>
      <w:r>
        <w:t xml:space="preserve"> non deriva dall’esterno né tanto meno si presenta come un momento dialettico necessario, non sussistente di per sé (come sarà nell’800, a partire da Fichte). </w:t>
      </w:r>
      <w:r w:rsidR="00694FC3">
        <w:t>Anche Dostoevskij parte da una condizione “esistenziale” del male, ma approda ad una conclusione diametralmente opposta</w:t>
      </w:r>
      <w:r w:rsidR="00890EC3">
        <w:t xml:space="preserve">: </w:t>
      </w:r>
      <w:r w:rsidR="00694FC3">
        <w:t>l’incapacità dell’uomo di rispondere alla legge morale o, quanto meno, la lotta intestina che permea l’anima umana</w:t>
      </w:r>
      <w:r w:rsidR="0055264C">
        <w:t xml:space="preserve"> e lo struggimento che ne </w:t>
      </w:r>
      <w:r w:rsidR="00692576">
        <w:t xml:space="preserve">consegue. </w:t>
      </w:r>
    </w:p>
    <w:p w14:paraId="6A7659D5" w14:textId="0AA26647" w:rsidR="00C25E9A" w:rsidRPr="003E5571" w:rsidRDefault="002777CC">
      <w:r>
        <w:t xml:space="preserve">Kant avrebbe in questo senso sottovalutato la forza della felicità a cui l’uomo aspira, subordinandola al senso del “rispetto” (l’unico contemplato nella sua dottrina, il sentimento che prescinde da ogni volontà e che </w:t>
      </w:r>
      <w:r w:rsidR="004121B6">
        <w:t>appartiene in modo esclusivo all’uomo, a differenza dell’amore o della paura, rivolti anche ad oggetti e animali</w:t>
      </w:r>
      <w:r>
        <w:t>). La dottrina dell’etica e quella della felicità sono per Kant una miscela eterogena, paragonabili ad un alcali in una soluzione di terra di calce nello spirito di sale: lo spirito abbandona la calce, si unisce all’alcali e sprofonda a causa della sua maggiore concentrazione. Con un esempio più moderno potremmo dire che la felicità e la virtù</w:t>
      </w:r>
      <w:r w:rsidR="00EA6F82">
        <w:t xml:space="preserve"> sono come l’acqua e l’olio, per quanto cerchiamo di unire i due elementi essi rimarranno inevitabilmente separati. Da qui lo smantellamento delle due dottrine etiche per antonomasia: l’epicureismo e lo stoicismo. Il primo proponeva il “modus vivendi” delle piccole cose quotidiane, del piacere intimo e moderato e della prudenza, ma lasciava spazio a una miriade di interpretazioni</w:t>
      </w:r>
      <w:r w:rsidR="005A55F6">
        <w:t>,</w:t>
      </w:r>
      <w:r w:rsidR="00EA6F82">
        <w:t xml:space="preserve"> tanto che le sue massime </w:t>
      </w:r>
      <w:r w:rsidR="005A55F6">
        <w:t>si rivelavano</w:t>
      </w:r>
      <w:r w:rsidR="00EA6F82">
        <w:t xml:space="preserve"> inadatte per essere universalizzate e </w:t>
      </w:r>
      <w:r w:rsidR="005A55F6">
        <w:t>divenire</w:t>
      </w:r>
      <w:r w:rsidR="00EA6F82">
        <w:t xml:space="preserve"> leggi. Il secondo, da una parte spogliava l’uomo dei suoi vizi, ma lo ammantava di una santità poco conforme alla sua natura, in quanto il “Sommo bene” non può che essere perfetto e puro, dunque l’aggettivo </w:t>
      </w:r>
      <w:r w:rsidR="005A55F6">
        <w:t>“</w:t>
      </w:r>
      <w:r w:rsidR="00EA6F82">
        <w:t>santo</w:t>
      </w:r>
      <w:r w:rsidR="005A55F6">
        <w:t>”</w:t>
      </w:r>
      <w:r w:rsidR="00EA6F82">
        <w:t xml:space="preserve"> inerisce, a rigor di logica, a Dio</w:t>
      </w:r>
      <w:r w:rsidR="005A55F6">
        <w:t>. L’ “eudemonia”, la convergenza di virtù e felicità si compie solo in una dimensione ultraterrena (postulato dell’esistenza dell’anima immortale).</w:t>
      </w:r>
      <w:r w:rsidR="00EA6F82">
        <w:t xml:space="preserve"> </w:t>
      </w:r>
    </w:p>
    <w:p w14:paraId="3E8C70F3" w14:textId="59017035" w:rsidR="007661D3" w:rsidRDefault="00C25E9A">
      <w:pPr>
        <w:rPr>
          <w:b/>
          <w:bCs/>
        </w:rPr>
      </w:pPr>
      <w:r>
        <w:t xml:space="preserve">  </w:t>
      </w:r>
      <w:r w:rsidR="005A55F6" w:rsidRPr="005A55F6">
        <w:rPr>
          <w:b/>
          <w:bCs/>
        </w:rPr>
        <w:t>Il romanticismo della ragione</w:t>
      </w:r>
    </w:p>
    <w:p w14:paraId="63AC22C3" w14:textId="20638BA9" w:rsidR="00A328D9" w:rsidRDefault="005A55F6">
      <w:r>
        <w:t xml:space="preserve">Kant fu un uomo del suo tempo, visse con entusiasmo gli albori della rivoluzione francese e interiorizzò i principi di libertà, uguaglianza e fratellanza. </w:t>
      </w:r>
      <w:r w:rsidR="004E0121">
        <w:t>Se, nella Critica della Ragion pura</w:t>
      </w:r>
      <w:r w:rsidR="00E424A5">
        <w:t>,</w:t>
      </w:r>
      <w:r w:rsidR="004E0121">
        <w:t xml:space="preserve"> mise a punto una teoria che presentava come chiave di volta l’universalità, dal momento che la ragione trascendentale è soggettiva, ma oggettiva al tempo stesso, ora</w:t>
      </w:r>
      <w:r w:rsidR="002D4E27">
        <w:t xml:space="preserve"> </w:t>
      </w:r>
      <w:r w:rsidR="004E0121">
        <w:t>discute dei temi della libertà e della fratellanza</w:t>
      </w:r>
      <w:r w:rsidR="00FB2919">
        <w:t xml:space="preserve"> </w:t>
      </w:r>
      <w:r w:rsidR="000B7E03">
        <w:t>(considerare l’uomo come fine e non come mezzo). Si</w:t>
      </w:r>
      <w:r w:rsidR="004E0121">
        <w:t xml:space="preserve"> noti che per farlo fa uso di una sintassi spezzata, ipotattica, sebbene il suo scopo sia </w:t>
      </w:r>
      <w:r w:rsidR="004E0121">
        <w:lastRenderedPageBreak/>
        <w:t>quello che l’etica e i principi da essa sostenuti possano raggiungere un pubblico ampio, in virtù di una filosofia del popolo</w:t>
      </w:r>
      <w:r w:rsidR="00E424A5">
        <w:t xml:space="preserve"> -in senso pratico-</w:t>
      </w:r>
      <w:r w:rsidR="004E0121">
        <w:t>, di una cultura ben lungi dall’essere elitaria.</w:t>
      </w:r>
      <w:r w:rsidR="00E424A5">
        <w:t xml:space="preserve"> </w:t>
      </w:r>
      <w:r w:rsidR="004E0121">
        <w:t xml:space="preserve"> </w:t>
      </w:r>
      <w:r w:rsidR="00E424A5">
        <w:rPr>
          <w:rFonts w:cstheme="minorHAnsi"/>
        </w:rPr>
        <w:t>La legge morale si muove nella dimensione della libertà (concetto nuovo e affascinante per Kant), motivo per cui quando viene attualizzata, quando viene ricondotta alla finitudine del mondo, perde la sua completezza, si apre in lei uno squarcio, un’emorragia di vita. Per quanto l’uomo possa sforzarsi al suo raggiungimento, il suo tentativo si limita a</w:t>
      </w:r>
      <w:r w:rsidR="000B7E03">
        <w:rPr>
          <w:rFonts w:cstheme="minorHAnsi"/>
        </w:rPr>
        <w:t xml:space="preserve"> essere un processo di miglioramento individuale, di cui potrà nutrire soddisfazione, non di certo felicità. Kant stesso era insomma consapevole dell’inattualità del suo rigorismo morale, tanto che dovette ricorrere all’uso dei postulati dell’immortalità dell’anima e dell’esistenza di Dio</w:t>
      </w:r>
      <w:r w:rsidR="00890EC3">
        <w:rPr>
          <w:rFonts w:cstheme="minorHAnsi"/>
        </w:rPr>
        <w:t xml:space="preserve">, dove l’endiadi, </w:t>
      </w:r>
      <w:r w:rsidR="00A328D9">
        <w:rPr>
          <w:rFonts w:cstheme="minorHAnsi"/>
        </w:rPr>
        <w:t>“l’</w:t>
      </w:r>
      <w:r w:rsidR="00890EC3">
        <w:rPr>
          <w:rFonts w:cstheme="minorHAnsi"/>
        </w:rPr>
        <w:t>eudemonia</w:t>
      </w:r>
      <w:r w:rsidR="00A328D9">
        <w:rPr>
          <w:rFonts w:cstheme="minorHAnsi"/>
        </w:rPr>
        <w:t>”</w:t>
      </w:r>
      <w:r w:rsidR="00890EC3">
        <w:rPr>
          <w:rFonts w:cstheme="minorHAnsi"/>
        </w:rPr>
        <w:t>, si concretizza</w:t>
      </w:r>
      <w:r w:rsidR="00A328D9">
        <w:rPr>
          <w:rFonts w:cstheme="minorHAnsi"/>
        </w:rPr>
        <w:t xml:space="preserve"> </w:t>
      </w:r>
      <w:r w:rsidR="00241A62">
        <w:rPr>
          <w:rFonts w:cstheme="minorHAnsi"/>
        </w:rPr>
        <w:t xml:space="preserve">(altrimenti l’uomo sarebbe </w:t>
      </w:r>
      <w:r w:rsidR="00A328D9">
        <w:rPr>
          <w:rFonts w:cstheme="minorHAnsi"/>
        </w:rPr>
        <w:t>“</w:t>
      </w:r>
      <w:r w:rsidR="00241A62">
        <w:rPr>
          <w:rFonts w:cstheme="minorHAnsi"/>
        </w:rPr>
        <w:t>santo</w:t>
      </w:r>
      <w:r w:rsidR="00A328D9">
        <w:rPr>
          <w:rFonts w:cstheme="minorHAnsi"/>
        </w:rPr>
        <w:t>”</w:t>
      </w:r>
      <w:r w:rsidR="00241A62">
        <w:rPr>
          <w:rFonts w:cstheme="minorHAnsi"/>
        </w:rPr>
        <w:t xml:space="preserve"> già sulla terra, il che è paradossale).</w:t>
      </w:r>
      <w:r w:rsidR="000B7E03">
        <w:rPr>
          <w:rFonts w:cstheme="minorHAnsi"/>
        </w:rPr>
        <w:t xml:space="preserve"> È l’infinità il luogo naturale della legge morale: l’uomo</w:t>
      </w:r>
      <w:r w:rsidR="003B5EC4">
        <w:rPr>
          <w:rFonts w:cstheme="minorHAnsi"/>
        </w:rPr>
        <w:t xml:space="preserve"> “romantico” non può accontentarsi di un</w:t>
      </w:r>
      <w:r w:rsidR="00A328D9">
        <w:rPr>
          <w:rFonts w:cstheme="minorHAnsi"/>
        </w:rPr>
        <w:t>’etica</w:t>
      </w:r>
      <w:r w:rsidR="003B5EC4">
        <w:rPr>
          <w:rFonts w:cstheme="minorHAnsi"/>
        </w:rPr>
        <w:t xml:space="preserve"> approssimativa, di un insipido utilitarismo, legato alla logica del profitto (che pure ricopre un ruolo, seppur marginale, nella sua analisi: essere propedeutico alla pratica della morale). Prendere atto dell’esistenza di una legge morale universale</w:t>
      </w:r>
      <w:r w:rsidR="00A328D9">
        <w:rPr>
          <w:rFonts w:cstheme="minorHAnsi"/>
        </w:rPr>
        <w:t>, anche se realizzabile nell’ “infinitezza”,</w:t>
      </w:r>
      <w:r w:rsidR="003B5EC4">
        <w:rPr>
          <w:rFonts w:cstheme="minorHAnsi"/>
        </w:rPr>
        <w:t xml:space="preserve"> significa riconoscere </w:t>
      </w:r>
      <w:r w:rsidR="002D4E27">
        <w:rPr>
          <w:rFonts w:cstheme="minorHAnsi"/>
        </w:rPr>
        <w:t>nell</w:t>
      </w:r>
      <w:r w:rsidR="004121B6">
        <w:rPr>
          <w:rFonts w:cstheme="minorHAnsi"/>
        </w:rPr>
        <w:t>’uomo una dignità, quella che suscita “rispetto” e che, togliendosi il cappello, si inchina di fronte ad un grande spirito.</w:t>
      </w:r>
    </w:p>
    <w:p w14:paraId="7235E903" w14:textId="77777777" w:rsidR="00A328D9" w:rsidRDefault="00A328D9"/>
    <w:p w14:paraId="5102D52B" w14:textId="5DBE8D0C" w:rsidR="007661D3" w:rsidRDefault="007661D3">
      <w:r>
        <w:t>050371</w:t>
      </w:r>
    </w:p>
    <w:p w14:paraId="36544E2C" w14:textId="77777777" w:rsidR="007661D3" w:rsidRDefault="007661D3"/>
    <w:sectPr w:rsidR="007661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10"/>
    <w:rsid w:val="000B7E03"/>
    <w:rsid w:val="000F6E67"/>
    <w:rsid w:val="00174108"/>
    <w:rsid w:val="00207E2C"/>
    <w:rsid w:val="00241A62"/>
    <w:rsid w:val="002777CC"/>
    <w:rsid w:val="002D4E27"/>
    <w:rsid w:val="00375A58"/>
    <w:rsid w:val="00391705"/>
    <w:rsid w:val="003B5EC4"/>
    <w:rsid w:val="003E546B"/>
    <w:rsid w:val="003E5571"/>
    <w:rsid w:val="004121B6"/>
    <w:rsid w:val="004A010A"/>
    <w:rsid w:val="004D74F0"/>
    <w:rsid w:val="004E0121"/>
    <w:rsid w:val="0055264C"/>
    <w:rsid w:val="005A55F6"/>
    <w:rsid w:val="00633130"/>
    <w:rsid w:val="00692576"/>
    <w:rsid w:val="00694FC3"/>
    <w:rsid w:val="006E61B3"/>
    <w:rsid w:val="007661D3"/>
    <w:rsid w:val="00890EC3"/>
    <w:rsid w:val="00950F91"/>
    <w:rsid w:val="00A1186A"/>
    <w:rsid w:val="00A122C9"/>
    <w:rsid w:val="00A328D9"/>
    <w:rsid w:val="00B6335B"/>
    <w:rsid w:val="00B916B1"/>
    <w:rsid w:val="00BC1110"/>
    <w:rsid w:val="00C25E9A"/>
    <w:rsid w:val="00E424A5"/>
    <w:rsid w:val="00E47C36"/>
    <w:rsid w:val="00EA6F82"/>
    <w:rsid w:val="00FB29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39CC"/>
  <w15:chartTrackingRefBased/>
  <w15:docId w15:val="{42AD7BBA-D246-4099-8CFE-52A76006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1540</Words>
  <Characters>8781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2024-04-15T10:57:00Z</dcterms:created>
  <dcterms:modified xsi:type="dcterms:W3CDTF">2024-04-15T11:08:00Z</dcterms:modified>
</cp:coreProperties>
</file>